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927BF" w14:textId="77777777" w:rsidR="0038351C" w:rsidRDefault="00000000">
      <w:pPr>
        <w:spacing w:line="360" w:lineRule="auto"/>
        <w:ind w:firstLineChars="300" w:firstLine="843"/>
        <w:jc w:val="center"/>
        <w:rPr>
          <w:rFonts w:ascii="宋体" w:hAnsi="Times New Roman"/>
          <w:b/>
          <w:sz w:val="28"/>
          <w:szCs w:val="28"/>
        </w:rPr>
      </w:pPr>
      <w:r>
        <w:rPr>
          <w:rFonts w:asciiTheme="minorEastAsia" w:hAnsiTheme="minorEastAsia" w:cstheme="minorEastAsia" w:hint="eastAsia"/>
          <w:b/>
          <w:bCs/>
          <w:color w:val="000000"/>
          <w:sz w:val="28"/>
          <w:szCs w:val="28"/>
          <w:lang w:bidi="ar"/>
        </w:rPr>
        <w:t>工程量清单及招标控制价编制说明</w:t>
      </w:r>
    </w:p>
    <w:p w14:paraId="5033F285" w14:textId="77777777" w:rsidR="0038351C" w:rsidRDefault="00000000">
      <w:pPr>
        <w:autoSpaceDE w:val="0"/>
        <w:autoSpaceDN w:val="0"/>
        <w:spacing w:line="360" w:lineRule="auto"/>
        <w:jc w:val="left"/>
        <w:rPr>
          <w:rFonts w:ascii="宋体" w:hAnsi="Times New Roman"/>
          <w:b/>
          <w:sz w:val="24"/>
          <w:szCs w:val="24"/>
        </w:rPr>
      </w:pPr>
      <w:r>
        <w:rPr>
          <w:rFonts w:ascii="宋体" w:eastAsia="Times New Roman" w:hAnsi="Times New Roman"/>
          <w:b/>
          <w:sz w:val="24"/>
          <w:szCs w:val="24"/>
        </w:rPr>
        <w:t>工程名称：</w:t>
      </w:r>
      <w:r>
        <w:rPr>
          <w:rFonts w:ascii="宋体" w:hAnsi="宋体" w:cs="宋体" w:hint="eastAsia"/>
          <w:b/>
          <w:sz w:val="24"/>
          <w:szCs w:val="24"/>
        </w:rPr>
        <w:t>2026年文</w:t>
      </w:r>
      <w:proofErr w:type="gramStart"/>
      <w:r>
        <w:rPr>
          <w:rFonts w:ascii="宋体" w:hAnsi="宋体" w:cs="宋体" w:hint="eastAsia"/>
          <w:b/>
          <w:sz w:val="24"/>
          <w:szCs w:val="24"/>
        </w:rPr>
        <w:t>勘</w:t>
      </w:r>
      <w:proofErr w:type="gramEnd"/>
      <w:r>
        <w:rPr>
          <w:rFonts w:ascii="宋体" w:hAnsi="宋体" w:cs="宋体" w:hint="eastAsia"/>
          <w:b/>
          <w:sz w:val="24"/>
          <w:szCs w:val="24"/>
        </w:rPr>
        <w:t>地块场地整理项目</w:t>
      </w:r>
    </w:p>
    <w:p w14:paraId="2513EB35" w14:textId="77777777" w:rsidR="0038351C" w:rsidRDefault="00000000">
      <w:pPr>
        <w:autoSpaceDE w:val="0"/>
        <w:autoSpaceDN w:val="0"/>
        <w:spacing w:line="360" w:lineRule="auto"/>
        <w:jc w:val="left"/>
        <w:rPr>
          <w:rFonts w:hAnsi="Times New Roman"/>
          <w:sz w:val="24"/>
          <w:szCs w:val="24"/>
        </w:rPr>
      </w:pPr>
      <w:r>
        <w:rPr>
          <w:rFonts w:eastAsia="Times New Roman" w:hAnsi="Times New Roman"/>
          <w:b/>
          <w:bCs/>
          <w:sz w:val="24"/>
          <w:szCs w:val="24"/>
        </w:rPr>
        <w:t>一、工程概况</w:t>
      </w:r>
      <w:r>
        <w:rPr>
          <w:rFonts w:eastAsia="Times New Roman" w:hAnsi="Times New Roman"/>
          <w:sz w:val="24"/>
          <w:szCs w:val="24"/>
        </w:rPr>
        <w:t>：</w:t>
      </w:r>
      <w:r>
        <w:rPr>
          <w:rFonts w:ascii="宋体" w:hAnsi="宋体" w:cs="宋体" w:hint="eastAsia"/>
          <w:sz w:val="24"/>
          <w:szCs w:val="24"/>
        </w:rPr>
        <w:t>2026年文</w:t>
      </w:r>
      <w:proofErr w:type="gramStart"/>
      <w:r>
        <w:rPr>
          <w:rFonts w:ascii="宋体" w:hAnsi="宋体" w:cs="宋体" w:hint="eastAsia"/>
          <w:sz w:val="24"/>
          <w:szCs w:val="24"/>
        </w:rPr>
        <w:t>勘</w:t>
      </w:r>
      <w:proofErr w:type="gramEnd"/>
      <w:r>
        <w:rPr>
          <w:rFonts w:ascii="宋体" w:hAnsi="宋体" w:cs="宋体" w:hint="eastAsia"/>
          <w:sz w:val="24"/>
          <w:szCs w:val="24"/>
        </w:rPr>
        <w:t>地块场地整理项目</w:t>
      </w:r>
      <w:r>
        <w:rPr>
          <w:rFonts w:eastAsia="Times New Roman" w:hAnsi="Times New Roman"/>
          <w:sz w:val="24"/>
          <w:szCs w:val="24"/>
        </w:rPr>
        <w:t>。</w:t>
      </w:r>
    </w:p>
    <w:p w14:paraId="387FE135" w14:textId="77777777" w:rsidR="0038351C" w:rsidRDefault="00000000">
      <w:pPr>
        <w:autoSpaceDE w:val="0"/>
        <w:autoSpaceDN w:val="0"/>
        <w:spacing w:line="360" w:lineRule="auto"/>
        <w:jc w:val="left"/>
        <w:rPr>
          <w:rFonts w:hAnsi="Times New Roman"/>
          <w:sz w:val="24"/>
          <w:szCs w:val="24"/>
        </w:rPr>
      </w:pPr>
      <w:r>
        <w:rPr>
          <w:rFonts w:eastAsia="Times New Roman" w:hAnsi="Times New Roman"/>
          <w:b/>
          <w:bCs/>
          <w:sz w:val="24"/>
          <w:szCs w:val="24"/>
        </w:rPr>
        <w:t>二、招标范围</w:t>
      </w:r>
      <w:r>
        <w:rPr>
          <w:rFonts w:eastAsia="Times New Roman" w:hAnsi="Times New Roman"/>
          <w:sz w:val="24"/>
          <w:szCs w:val="24"/>
        </w:rPr>
        <w:t>：工程量清单范围内的全部内容。</w:t>
      </w:r>
    </w:p>
    <w:p w14:paraId="38C1C708" w14:textId="77777777" w:rsidR="0038351C" w:rsidRDefault="00000000">
      <w:pPr>
        <w:autoSpaceDE w:val="0"/>
        <w:autoSpaceDN w:val="0"/>
        <w:spacing w:line="360" w:lineRule="auto"/>
        <w:jc w:val="left"/>
        <w:rPr>
          <w:rFonts w:hAnsi="Times New Roman"/>
          <w:sz w:val="24"/>
          <w:szCs w:val="24"/>
        </w:rPr>
      </w:pPr>
      <w:r>
        <w:rPr>
          <w:rFonts w:eastAsia="Times New Roman" w:hAnsi="Times New Roman"/>
          <w:b/>
          <w:bCs/>
          <w:sz w:val="24"/>
          <w:szCs w:val="24"/>
        </w:rPr>
        <w:t>三、清单编制依据</w:t>
      </w:r>
      <w:r>
        <w:rPr>
          <w:rFonts w:eastAsia="Times New Roman" w:hAnsi="Times New Roman"/>
          <w:sz w:val="24"/>
          <w:szCs w:val="24"/>
        </w:rPr>
        <w:t>：</w:t>
      </w:r>
    </w:p>
    <w:p w14:paraId="508B8B26" w14:textId="77777777" w:rsidR="0038351C" w:rsidRDefault="00000000">
      <w:pPr>
        <w:autoSpaceDE w:val="0"/>
        <w:autoSpaceDN w:val="0"/>
        <w:spacing w:line="360" w:lineRule="auto"/>
        <w:jc w:val="left"/>
        <w:rPr>
          <w:rFonts w:hAnsi="Times New Roman"/>
          <w:sz w:val="24"/>
          <w:szCs w:val="24"/>
        </w:rPr>
      </w:pPr>
      <w:r>
        <w:rPr>
          <w:rFonts w:eastAsia="Times New Roman" w:hAnsi="Times New Roman"/>
          <w:sz w:val="24"/>
          <w:szCs w:val="24"/>
        </w:rPr>
        <w:t>（</w:t>
      </w:r>
      <w:r>
        <w:rPr>
          <w:rFonts w:eastAsia="Times New Roman" w:hAnsi="Times New Roman"/>
          <w:sz w:val="24"/>
          <w:szCs w:val="24"/>
        </w:rPr>
        <w:t>1</w:t>
      </w:r>
      <w:r>
        <w:rPr>
          <w:rFonts w:eastAsia="Times New Roman" w:hAnsi="Times New Roman"/>
          <w:sz w:val="24"/>
          <w:szCs w:val="24"/>
        </w:rPr>
        <w:t>）</w:t>
      </w:r>
      <w:r>
        <w:rPr>
          <w:rFonts w:asciiTheme="minorEastAsia" w:hAnsiTheme="minorEastAsia" w:cstheme="minorEastAsia" w:hint="eastAsia"/>
          <w:color w:val="000000"/>
          <w:sz w:val="24"/>
          <w:lang w:bidi="ar"/>
        </w:rPr>
        <w:t>《建设工程工程量清单计价规范》GB50500-2013、《房屋建筑与装饰工程工程量计算规范》GB50854-2013、《通用安装工程工程量计算规范》GB50856-2013、《江苏省建筑与装饰工程计价表》2014 版及勘误、《江苏省安装工程计价定额》2014 版、《江苏省市政工程计价定额》2014 版、《江苏省抗震加固工程计价表》2009版、《江苏省房屋修缮工程计价表》2009版、《江苏省建设工程费用定额》2014 版、《建筑安装工程工期定额》TY 01-89-2016</w:t>
      </w:r>
      <w:r>
        <w:rPr>
          <w:rFonts w:eastAsia="Times New Roman" w:hAnsi="Times New Roman"/>
          <w:sz w:val="24"/>
          <w:szCs w:val="24"/>
        </w:rPr>
        <w:t>等相关文件、法律法规及规范要求编制。</w:t>
      </w:r>
    </w:p>
    <w:p w14:paraId="0D2CA052" w14:textId="77777777" w:rsidR="0038351C" w:rsidRDefault="00000000">
      <w:pPr>
        <w:autoSpaceDE w:val="0"/>
        <w:autoSpaceDN w:val="0"/>
        <w:spacing w:line="360" w:lineRule="auto"/>
        <w:jc w:val="left"/>
        <w:rPr>
          <w:rFonts w:hAnsi="Times New Roman"/>
          <w:sz w:val="24"/>
          <w:szCs w:val="24"/>
        </w:rPr>
      </w:pPr>
      <w:r>
        <w:rPr>
          <w:rFonts w:eastAsia="Times New Roman" w:hAnsi="Times New Roman"/>
          <w:sz w:val="24"/>
          <w:szCs w:val="24"/>
        </w:rPr>
        <w:t>（</w:t>
      </w:r>
      <w:r>
        <w:rPr>
          <w:rFonts w:eastAsia="Times New Roman" w:hAnsi="Times New Roman"/>
          <w:sz w:val="24"/>
          <w:szCs w:val="24"/>
        </w:rPr>
        <w:t>2</w:t>
      </w:r>
      <w:r>
        <w:rPr>
          <w:rFonts w:eastAsia="Times New Roman" w:hAnsi="Times New Roman"/>
          <w:sz w:val="24"/>
          <w:szCs w:val="24"/>
        </w:rPr>
        <w:t>）实施方案及现场踏勘数据等。</w:t>
      </w:r>
    </w:p>
    <w:p w14:paraId="4286F1C6" w14:textId="77777777" w:rsidR="0038351C" w:rsidRDefault="00000000">
      <w:pPr>
        <w:autoSpaceDE w:val="0"/>
        <w:autoSpaceDN w:val="0"/>
        <w:spacing w:line="360" w:lineRule="auto"/>
        <w:jc w:val="left"/>
        <w:rPr>
          <w:rFonts w:hAnsi="Times New Roman"/>
          <w:sz w:val="24"/>
          <w:szCs w:val="24"/>
        </w:rPr>
      </w:pPr>
      <w:r>
        <w:rPr>
          <w:rFonts w:eastAsia="Times New Roman" w:hAnsi="Times New Roman"/>
          <w:sz w:val="24"/>
          <w:szCs w:val="24"/>
        </w:rPr>
        <w:t>（</w:t>
      </w:r>
      <w:r>
        <w:rPr>
          <w:rFonts w:eastAsia="Times New Roman" w:hAnsi="Times New Roman"/>
          <w:sz w:val="24"/>
          <w:szCs w:val="24"/>
        </w:rPr>
        <w:t>3</w:t>
      </w:r>
      <w:r>
        <w:rPr>
          <w:rFonts w:eastAsia="Times New Roman" w:hAnsi="Times New Roman"/>
          <w:sz w:val="24"/>
          <w:szCs w:val="24"/>
        </w:rPr>
        <w:t>）凡本清单中明确的，按本清单内容编制投标报价。</w:t>
      </w:r>
    </w:p>
    <w:p w14:paraId="09EBA920" w14:textId="77777777" w:rsidR="0038351C" w:rsidRDefault="00000000">
      <w:pPr>
        <w:autoSpaceDE w:val="0"/>
        <w:autoSpaceDN w:val="0"/>
        <w:spacing w:line="360" w:lineRule="auto"/>
        <w:jc w:val="left"/>
        <w:rPr>
          <w:rFonts w:hAnsi="Times New Roman"/>
          <w:sz w:val="24"/>
          <w:szCs w:val="24"/>
        </w:rPr>
      </w:pPr>
      <w:r>
        <w:rPr>
          <w:rFonts w:eastAsia="Times New Roman" w:hAnsi="Times New Roman"/>
          <w:sz w:val="24"/>
          <w:szCs w:val="24"/>
        </w:rPr>
        <w:t>（</w:t>
      </w:r>
      <w:r>
        <w:rPr>
          <w:rFonts w:eastAsia="Times New Roman" w:hAnsi="Times New Roman"/>
          <w:sz w:val="24"/>
          <w:szCs w:val="24"/>
        </w:rPr>
        <w:t>4</w:t>
      </w:r>
      <w:r>
        <w:rPr>
          <w:rFonts w:eastAsia="Times New Roman" w:hAnsi="Times New Roman"/>
          <w:sz w:val="24"/>
          <w:szCs w:val="24"/>
        </w:rPr>
        <w:t>）凡本清单中未作说明的，按上述规范、文件和要求编制投标报价。</w:t>
      </w:r>
    </w:p>
    <w:p w14:paraId="66CF239D" w14:textId="77777777" w:rsidR="0038351C" w:rsidRDefault="00000000">
      <w:pPr>
        <w:autoSpaceDE w:val="0"/>
        <w:autoSpaceDN w:val="0"/>
        <w:spacing w:line="360" w:lineRule="auto"/>
        <w:jc w:val="left"/>
        <w:rPr>
          <w:rFonts w:hAnsi="Times New Roman"/>
          <w:sz w:val="24"/>
          <w:szCs w:val="24"/>
        </w:rPr>
      </w:pPr>
      <w:r>
        <w:rPr>
          <w:rFonts w:eastAsia="Times New Roman" w:hAnsi="Times New Roman"/>
          <w:b/>
          <w:bCs/>
          <w:sz w:val="24"/>
          <w:szCs w:val="24"/>
        </w:rPr>
        <w:t>四、工程质量</w:t>
      </w:r>
      <w:r>
        <w:rPr>
          <w:rFonts w:eastAsia="Times New Roman" w:hAnsi="Times New Roman"/>
          <w:sz w:val="24"/>
          <w:szCs w:val="24"/>
        </w:rPr>
        <w:t>：见招标文件。</w:t>
      </w:r>
    </w:p>
    <w:p w14:paraId="4320A3F8" w14:textId="77777777" w:rsidR="0038351C" w:rsidRDefault="00000000">
      <w:pPr>
        <w:spacing w:line="360" w:lineRule="auto"/>
        <w:rPr>
          <w:rFonts w:eastAsia="Times New Roman" w:hAnsi="Times New Roman"/>
          <w:sz w:val="24"/>
          <w:szCs w:val="24"/>
        </w:rPr>
      </w:pPr>
      <w:r>
        <w:rPr>
          <w:rFonts w:eastAsia="Times New Roman" w:hAnsi="Times New Roman"/>
          <w:b/>
          <w:bCs/>
          <w:sz w:val="24"/>
          <w:szCs w:val="24"/>
        </w:rPr>
        <w:t>五、工程类别</w:t>
      </w:r>
      <w:r>
        <w:rPr>
          <w:rFonts w:eastAsia="Times New Roman" w:hAnsi="Times New Roman"/>
          <w:sz w:val="24"/>
          <w:szCs w:val="24"/>
        </w:rPr>
        <w:t>：</w:t>
      </w:r>
      <w:r>
        <w:rPr>
          <w:rFonts w:hAnsi="Times New Roman" w:hint="eastAsia"/>
          <w:sz w:val="24"/>
          <w:szCs w:val="24"/>
        </w:rPr>
        <w:t>市政三类大型土石方</w:t>
      </w:r>
      <w:r>
        <w:rPr>
          <w:rFonts w:eastAsia="Times New Roman" w:hAnsi="Times New Roman"/>
          <w:sz w:val="24"/>
          <w:szCs w:val="24"/>
        </w:rPr>
        <w:t>。</w:t>
      </w:r>
    </w:p>
    <w:p w14:paraId="4E57C0A9" w14:textId="77777777" w:rsidR="0038351C" w:rsidRDefault="00000000">
      <w:pPr>
        <w:spacing w:line="360" w:lineRule="auto"/>
        <w:rPr>
          <w:rFonts w:hAnsi="Times New Roman"/>
          <w:sz w:val="24"/>
          <w:szCs w:val="24"/>
        </w:rPr>
      </w:pPr>
      <w:r>
        <w:rPr>
          <w:rFonts w:hAnsi="Times New Roman" w:hint="eastAsia"/>
          <w:b/>
          <w:bCs/>
          <w:sz w:val="24"/>
          <w:szCs w:val="24"/>
        </w:rPr>
        <w:t>六、计价相关说明</w:t>
      </w:r>
      <w:r>
        <w:rPr>
          <w:rFonts w:hAnsi="Times New Roman" w:hint="eastAsia"/>
          <w:sz w:val="24"/>
          <w:szCs w:val="24"/>
        </w:rPr>
        <w:t>：</w:t>
      </w:r>
    </w:p>
    <w:p w14:paraId="019028B3" w14:textId="77777777" w:rsidR="0038351C" w:rsidRDefault="00000000">
      <w:pPr>
        <w:autoSpaceDE w:val="0"/>
        <w:autoSpaceDN w:val="0"/>
        <w:spacing w:line="360" w:lineRule="auto"/>
        <w:jc w:val="left"/>
        <w:rPr>
          <w:rFonts w:hAnsi="Times New Roman"/>
          <w:sz w:val="24"/>
          <w:szCs w:val="24"/>
        </w:rPr>
      </w:pPr>
      <w:r>
        <w:rPr>
          <w:rFonts w:hAnsi="Times New Roman" w:hint="eastAsia"/>
          <w:sz w:val="24"/>
          <w:szCs w:val="24"/>
        </w:rPr>
        <w:t>1.</w:t>
      </w:r>
      <w:r>
        <w:rPr>
          <w:rFonts w:eastAsia="Times New Roman" w:hAnsi="Times New Roman"/>
          <w:sz w:val="24"/>
          <w:szCs w:val="24"/>
        </w:rPr>
        <w:t>现场安全文明施工费基本费率、扬尘污染防治增加费费率、暂列金额按招标文件规定计取。</w:t>
      </w:r>
    </w:p>
    <w:p w14:paraId="61B046CE" w14:textId="77777777" w:rsidR="0038351C" w:rsidRDefault="00000000">
      <w:pPr>
        <w:spacing w:line="360" w:lineRule="auto"/>
        <w:rPr>
          <w:rFonts w:hAnsi="Times New Roman"/>
          <w:sz w:val="24"/>
          <w:szCs w:val="24"/>
        </w:rPr>
      </w:pPr>
      <w:r>
        <w:rPr>
          <w:rFonts w:hAnsi="Times New Roman" w:hint="eastAsia"/>
          <w:sz w:val="24"/>
          <w:szCs w:val="24"/>
        </w:rPr>
        <w:t>2.</w:t>
      </w:r>
      <w:r>
        <w:rPr>
          <w:rFonts w:asciiTheme="minorEastAsia" w:hAnsiTheme="minorEastAsia" w:cstheme="minorEastAsia" w:hint="eastAsia"/>
          <w:color w:val="000000"/>
          <w:sz w:val="24"/>
          <w:lang w:bidi="ar"/>
        </w:rPr>
        <w:t>相关费率：措施项目、</w:t>
      </w:r>
      <w:proofErr w:type="gramStart"/>
      <w:r>
        <w:rPr>
          <w:rFonts w:asciiTheme="minorEastAsia" w:hAnsiTheme="minorEastAsia" w:cstheme="minorEastAsia" w:hint="eastAsia"/>
          <w:color w:val="000000"/>
          <w:sz w:val="24"/>
          <w:lang w:bidi="ar"/>
        </w:rPr>
        <w:t>规</w:t>
      </w:r>
      <w:proofErr w:type="gramEnd"/>
      <w:r>
        <w:rPr>
          <w:rFonts w:asciiTheme="minorEastAsia" w:hAnsiTheme="minorEastAsia" w:cstheme="minorEastAsia" w:hint="eastAsia"/>
          <w:color w:val="000000"/>
          <w:sz w:val="24"/>
          <w:lang w:bidi="ar"/>
        </w:rPr>
        <w:t>费、税金按常建〔2014〕279 号文、苏建价〔2014〕448 号文、苏建价〔2016〕154 号文、苏建价函〔2019〕178 号文、常建〔2019〕1 号文、常建〔2019〕19 号文、</w:t>
      </w:r>
      <w:proofErr w:type="gramStart"/>
      <w:r>
        <w:rPr>
          <w:rFonts w:asciiTheme="minorEastAsia" w:hAnsiTheme="minorEastAsia" w:cstheme="minorEastAsia" w:hint="eastAsia"/>
          <w:color w:val="000000"/>
          <w:sz w:val="24"/>
          <w:lang w:bidi="ar"/>
        </w:rPr>
        <w:t>常住建</w:t>
      </w:r>
      <w:proofErr w:type="gramEnd"/>
      <w:r>
        <w:rPr>
          <w:rFonts w:asciiTheme="minorEastAsia" w:hAnsiTheme="minorEastAsia" w:cstheme="minorEastAsia" w:hint="eastAsia"/>
          <w:color w:val="000000"/>
          <w:sz w:val="24"/>
          <w:lang w:bidi="ar"/>
        </w:rPr>
        <w:t>〔2020〕99 号</w:t>
      </w:r>
      <w:proofErr w:type="gramStart"/>
      <w:r>
        <w:rPr>
          <w:rFonts w:asciiTheme="minorEastAsia" w:hAnsiTheme="minorEastAsia" w:cstheme="minorEastAsia" w:hint="eastAsia"/>
          <w:color w:val="000000"/>
          <w:sz w:val="24"/>
          <w:lang w:bidi="ar"/>
        </w:rPr>
        <w:t>文及其</w:t>
      </w:r>
      <w:proofErr w:type="gramEnd"/>
      <w:r>
        <w:rPr>
          <w:rFonts w:asciiTheme="minorEastAsia" w:hAnsiTheme="minorEastAsia" w:cstheme="minorEastAsia" w:hint="eastAsia"/>
          <w:color w:val="000000"/>
          <w:sz w:val="24"/>
          <w:lang w:bidi="ar"/>
        </w:rPr>
        <w:t xml:space="preserve">他有关工程造价方面的法律法规、办法、规定等。 </w:t>
      </w:r>
    </w:p>
    <w:p w14:paraId="54E79FEC" w14:textId="77777777" w:rsidR="0038351C" w:rsidRDefault="00000000">
      <w:pPr>
        <w:spacing w:line="360" w:lineRule="auto"/>
        <w:rPr>
          <w:rFonts w:hAnsi="Times New Roman"/>
          <w:sz w:val="24"/>
          <w:szCs w:val="24"/>
        </w:rPr>
      </w:pPr>
      <w:r>
        <w:rPr>
          <w:rFonts w:hAnsi="Times New Roman" w:hint="eastAsia"/>
          <w:sz w:val="24"/>
          <w:szCs w:val="24"/>
        </w:rPr>
        <w:t>3.</w:t>
      </w:r>
      <w:r>
        <w:rPr>
          <w:rFonts w:asciiTheme="minorEastAsia" w:hAnsiTheme="minorEastAsia" w:cstheme="minorEastAsia" w:hint="eastAsia"/>
          <w:color w:val="000000"/>
          <w:sz w:val="24"/>
          <w:lang w:bidi="ar"/>
        </w:rPr>
        <w:t>人工费按</w:t>
      </w:r>
      <w:proofErr w:type="gramStart"/>
      <w:r>
        <w:rPr>
          <w:rFonts w:asciiTheme="minorEastAsia" w:hAnsiTheme="minorEastAsia" w:cstheme="minorEastAsia" w:hint="eastAsia"/>
          <w:color w:val="000000"/>
          <w:sz w:val="24"/>
          <w:lang w:bidi="ar"/>
        </w:rPr>
        <w:t>苏建函价〔2026〕</w:t>
      </w:r>
      <w:proofErr w:type="gramEnd"/>
      <w:r>
        <w:rPr>
          <w:rFonts w:asciiTheme="minorEastAsia" w:hAnsiTheme="minorEastAsia" w:cstheme="minorEastAsia" w:hint="eastAsia"/>
          <w:sz w:val="24"/>
          <w:lang w:bidi="ar"/>
        </w:rPr>
        <w:t>27</w:t>
      </w:r>
      <w:r>
        <w:rPr>
          <w:rFonts w:asciiTheme="minorEastAsia" w:hAnsiTheme="minorEastAsia" w:cstheme="minorEastAsia" w:hint="eastAsia"/>
          <w:color w:val="000000"/>
          <w:sz w:val="24"/>
          <w:lang w:bidi="ar"/>
        </w:rPr>
        <w:t>号文《省住房和城乡建设厅关于发布建设工程人工工资指导价的通知》执行。材料价格参照常州市 2026 年2月份除</w:t>
      </w:r>
      <w:proofErr w:type="gramStart"/>
      <w:r>
        <w:rPr>
          <w:rFonts w:asciiTheme="minorEastAsia" w:hAnsiTheme="minorEastAsia" w:cstheme="minorEastAsia" w:hint="eastAsia"/>
          <w:color w:val="000000"/>
          <w:sz w:val="24"/>
          <w:lang w:bidi="ar"/>
        </w:rPr>
        <w:t>税信息价</w:t>
      </w:r>
      <w:proofErr w:type="gramEnd"/>
      <w:r>
        <w:rPr>
          <w:rFonts w:asciiTheme="minorEastAsia" w:hAnsiTheme="minorEastAsia" w:cstheme="minorEastAsia" w:hint="eastAsia"/>
          <w:color w:val="000000"/>
          <w:sz w:val="24"/>
          <w:lang w:bidi="ar"/>
        </w:rPr>
        <w:t>，本月没有的按月依次前推，若</w:t>
      </w:r>
      <w:proofErr w:type="gramStart"/>
      <w:r>
        <w:rPr>
          <w:rFonts w:asciiTheme="minorEastAsia" w:hAnsiTheme="minorEastAsia" w:cstheme="minorEastAsia" w:hint="eastAsia"/>
          <w:color w:val="000000"/>
          <w:sz w:val="24"/>
          <w:lang w:bidi="ar"/>
        </w:rPr>
        <w:t>信息价</w:t>
      </w:r>
      <w:proofErr w:type="gramEnd"/>
      <w:r>
        <w:rPr>
          <w:rFonts w:asciiTheme="minorEastAsia" w:hAnsiTheme="minorEastAsia" w:cstheme="minorEastAsia" w:hint="eastAsia"/>
          <w:color w:val="000000"/>
          <w:sz w:val="24"/>
          <w:lang w:bidi="ar"/>
        </w:rPr>
        <w:t>中无载明的，其价格参照市场询价计入。</w:t>
      </w:r>
    </w:p>
    <w:p w14:paraId="6F8E7EBB" w14:textId="77777777" w:rsidR="0038351C" w:rsidRDefault="00000000">
      <w:pPr>
        <w:spacing w:line="360" w:lineRule="auto"/>
        <w:jc w:val="left"/>
        <w:rPr>
          <w:rFonts w:asciiTheme="minorEastAsia" w:hAnsiTheme="minorEastAsia" w:cstheme="minorEastAsia" w:hint="eastAsia"/>
          <w:sz w:val="24"/>
        </w:rPr>
      </w:pPr>
      <w:r>
        <w:rPr>
          <w:rFonts w:hAnsi="Times New Roman" w:hint="eastAsia"/>
          <w:sz w:val="24"/>
          <w:szCs w:val="24"/>
        </w:rPr>
        <w:t>4</w:t>
      </w:r>
      <w:r>
        <w:rPr>
          <w:rFonts w:hAnsi="Times New Roman" w:hint="eastAsia"/>
          <w:sz w:val="24"/>
          <w:szCs w:val="24"/>
        </w:rPr>
        <w:t>、</w:t>
      </w:r>
      <w:r>
        <w:rPr>
          <w:rFonts w:asciiTheme="minorEastAsia" w:hAnsiTheme="minorEastAsia" w:cstheme="minorEastAsia" w:hint="eastAsia"/>
          <w:color w:val="000000"/>
          <w:sz w:val="24"/>
          <w:lang w:bidi="ar"/>
        </w:rPr>
        <w:t xml:space="preserve">总价措施项目费率根据常建〔2014〕279 号文、常建〔2016〕94 号、常建〔2019〕1 号文规定计取。安全文明施工费（含基本费、扬尘污染防治增加费、标化工地增加费）、工程按质论价为不可竞争费，投标报价时按工程量清单中的费率计取不得调整，结算时按相关文件规定计取。 </w:t>
      </w:r>
    </w:p>
    <w:p w14:paraId="0B240E34" w14:textId="77777777" w:rsidR="0038351C" w:rsidRDefault="00000000">
      <w:pPr>
        <w:autoSpaceDE w:val="0"/>
        <w:autoSpaceDN w:val="0"/>
        <w:spacing w:line="360" w:lineRule="auto"/>
        <w:jc w:val="left"/>
        <w:rPr>
          <w:rFonts w:hAnsi="Times New Roman"/>
          <w:sz w:val="24"/>
          <w:szCs w:val="24"/>
        </w:rPr>
      </w:pPr>
      <w:r>
        <w:rPr>
          <w:rFonts w:hAnsi="Times New Roman" w:hint="eastAsia"/>
          <w:sz w:val="24"/>
          <w:szCs w:val="24"/>
        </w:rPr>
        <w:t>4.</w:t>
      </w:r>
      <w:r>
        <w:rPr>
          <w:rFonts w:eastAsia="Times New Roman" w:hAnsi="Times New Roman"/>
          <w:sz w:val="24"/>
          <w:szCs w:val="24"/>
        </w:rPr>
        <w:t>暂估价及其他项目清单中的暂列金额及专业工程暂估价为不可竞争费。</w:t>
      </w:r>
    </w:p>
    <w:p w14:paraId="260068C7" w14:textId="77777777" w:rsidR="0038351C" w:rsidRDefault="00000000">
      <w:pPr>
        <w:autoSpaceDE w:val="0"/>
        <w:autoSpaceDN w:val="0"/>
        <w:spacing w:line="360" w:lineRule="auto"/>
        <w:jc w:val="left"/>
        <w:rPr>
          <w:rFonts w:eastAsia="Times New Roman" w:hAnsi="Times New Roman"/>
          <w:sz w:val="24"/>
          <w:szCs w:val="24"/>
        </w:rPr>
      </w:pPr>
      <w:r>
        <w:rPr>
          <w:rFonts w:hAnsi="Times New Roman" w:hint="eastAsia"/>
          <w:sz w:val="24"/>
          <w:szCs w:val="24"/>
        </w:rPr>
        <w:lastRenderedPageBreak/>
        <w:t>6</w:t>
      </w:r>
      <w:r>
        <w:rPr>
          <w:rFonts w:hAnsi="Times New Roman" w:hint="eastAsia"/>
          <w:sz w:val="24"/>
          <w:szCs w:val="24"/>
        </w:rPr>
        <w:t>、</w:t>
      </w:r>
      <w:r>
        <w:rPr>
          <w:rFonts w:eastAsia="Times New Roman" w:hAnsi="Times New Roman"/>
          <w:sz w:val="24"/>
          <w:szCs w:val="24"/>
        </w:rPr>
        <w:t>安全文明施工费、</w:t>
      </w:r>
      <w:proofErr w:type="gramStart"/>
      <w:r>
        <w:rPr>
          <w:rFonts w:eastAsia="Times New Roman" w:hAnsi="Times New Roman"/>
          <w:sz w:val="24"/>
          <w:szCs w:val="24"/>
        </w:rPr>
        <w:t>规</w:t>
      </w:r>
      <w:proofErr w:type="gramEnd"/>
      <w:r>
        <w:rPr>
          <w:rFonts w:eastAsia="Times New Roman" w:hAnsi="Times New Roman"/>
          <w:sz w:val="24"/>
          <w:szCs w:val="24"/>
        </w:rPr>
        <w:t>费、税金项目清单中所列费率均为不可竞争费率。</w:t>
      </w:r>
    </w:p>
    <w:p w14:paraId="46899B55" w14:textId="77777777" w:rsidR="0038351C" w:rsidRDefault="00000000">
      <w:pPr>
        <w:spacing w:line="360" w:lineRule="auto"/>
        <w:jc w:val="left"/>
        <w:rPr>
          <w:rFonts w:asciiTheme="minorEastAsia" w:hAnsiTheme="minorEastAsia" w:cstheme="minorEastAsia" w:hint="eastAsia"/>
          <w:color w:val="000000"/>
          <w:sz w:val="24"/>
          <w:lang w:bidi="ar"/>
        </w:rPr>
      </w:pPr>
      <w:r>
        <w:rPr>
          <w:rFonts w:hAnsi="Times New Roman" w:hint="eastAsia"/>
          <w:sz w:val="24"/>
          <w:szCs w:val="24"/>
        </w:rPr>
        <w:t>7</w:t>
      </w:r>
      <w:r>
        <w:rPr>
          <w:rFonts w:hAnsi="Times New Roman" w:hint="eastAsia"/>
          <w:sz w:val="24"/>
          <w:szCs w:val="24"/>
        </w:rPr>
        <w:t>、</w:t>
      </w:r>
      <w:r>
        <w:rPr>
          <w:rFonts w:asciiTheme="minorEastAsia" w:hAnsiTheme="minorEastAsia" w:cstheme="minorEastAsia" w:hint="eastAsia"/>
          <w:color w:val="000000"/>
          <w:sz w:val="24"/>
          <w:lang w:bidi="ar"/>
        </w:rPr>
        <w:t>夜间施工、赶工措施、现场已完工程保护（含原现场保护）等措施均已考虑在编</w:t>
      </w:r>
      <w:proofErr w:type="gramStart"/>
      <w:r>
        <w:rPr>
          <w:rFonts w:asciiTheme="minorEastAsia" w:hAnsiTheme="minorEastAsia" w:cstheme="minorEastAsia" w:hint="eastAsia"/>
          <w:color w:val="000000"/>
          <w:sz w:val="24"/>
          <w:lang w:bidi="ar"/>
        </w:rPr>
        <w:t>标范围</w:t>
      </w:r>
      <w:proofErr w:type="gramEnd"/>
      <w:r>
        <w:rPr>
          <w:rFonts w:asciiTheme="minorEastAsia" w:hAnsiTheme="minorEastAsia" w:cstheme="minorEastAsia" w:hint="eastAsia"/>
          <w:color w:val="000000"/>
          <w:sz w:val="24"/>
          <w:lang w:bidi="ar"/>
        </w:rPr>
        <w:t>内，投标单位综合考虑报价，现场施工过程中不得以任何形式进行费用增加，结算时</w:t>
      </w:r>
      <w:proofErr w:type="gramStart"/>
      <w:r>
        <w:rPr>
          <w:rFonts w:asciiTheme="minorEastAsia" w:hAnsiTheme="minorEastAsia" w:cstheme="minorEastAsia" w:hint="eastAsia"/>
          <w:color w:val="000000"/>
          <w:sz w:val="24"/>
          <w:lang w:bidi="ar"/>
        </w:rPr>
        <w:t>不</w:t>
      </w:r>
      <w:proofErr w:type="gramEnd"/>
      <w:r>
        <w:rPr>
          <w:rFonts w:asciiTheme="minorEastAsia" w:hAnsiTheme="minorEastAsia" w:cstheme="minorEastAsia" w:hint="eastAsia"/>
          <w:color w:val="000000"/>
          <w:sz w:val="24"/>
          <w:lang w:bidi="ar"/>
        </w:rPr>
        <w:t>另行增加费用。</w:t>
      </w:r>
    </w:p>
    <w:p w14:paraId="18541163" w14:textId="77777777" w:rsidR="0038351C" w:rsidRDefault="00000000">
      <w:pPr>
        <w:spacing w:line="360" w:lineRule="auto"/>
        <w:jc w:val="left"/>
        <w:rPr>
          <w:rFonts w:asciiTheme="minorEastAsia" w:hAnsiTheme="minorEastAsia" w:cstheme="minorEastAsia" w:hint="eastAsia"/>
          <w:color w:val="000000"/>
          <w:sz w:val="24"/>
          <w:lang w:bidi="ar"/>
        </w:rPr>
      </w:pPr>
      <w:r>
        <w:rPr>
          <w:rFonts w:asciiTheme="minorEastAsia" w:hAnsiTheme="minorEastAsia" w:cstheme="minorEastAsia" w:hint="eastAsia"/>
          <w:color w:val="000000"/>
          <w:sz w:val="24"/>
          <w:lang w:bidi="ar"/>
        </w:rPr>
        <w:t>8、投标人自行踏勘现场，投标报价综合考虑临时设施与施工操作场地、施工水电接入等费用，过程中不得以任何形式进行索赔，结算时</w:t>
      </w:r>
      <w:proofErr w:type="gramStart"/>
      <w:r>
        <w:rPr>
          <w:rFonts w:asciiTheme="minorEastAsia" w:hAnsiTheme="minorEastAsia" w:cstheme="minorEastAsia" w:hint="eastAsia"/>
          <w:color w:val="000000"/>
          <w:sz w:val="24"/>
          <w:lang w:bidi="ar"/>
        </w:rPr>
        <w:t>不</w:t>
      </w:r>
      <w:proofErr w:type="gramEnd"/>
      <w:r>
        <w:rPr>
          <w:rFonts w:asciiTheme="minorEastAsia" w:hAnsiTheme="minorEastAsia" w:cstheme="minorEastAsia" w:hint="eastAsia"/>
          <w:color w:val="000000"/>
          <w:sz w:val="24"/>
          <w:lang w:bidi="ar"/>
        </w:rPr>
        <w:t>另行增加费用。</w:t>
      </w:r>
    </w:p>
    <w:p w14:paraId="3D043C7F" w14:textId="77777777" w:rsidR="0038351C" w:rsidRDefault="00000000">
      <w:pPr>
        <w:spacing w:line="360" w:lineRule="auto"/>
        <w:jc w:val="left"/>
        <w:rPr>
          <w:rFonts w:ascii="宋体" w:hAnsi="宋体" w:cs="宋体" w:hint="eastAsia"/>
          <w:sz w:val="24"/>
          <w:szCs w:val="24"/>
        </w:rPr>
      </w:pPr>
      <w:r>
        <w:rPr>
          <w:rFonts w:asciiTheme="minorEastAsia" w:hAnsiTheme="minorEastAsia" w:cstheme="minorEastAsia" w:hint="eastAsia"/>
          <w:color w:val="000000"/>
          <w:sz w:val="24"/>
          <w:lang w:bidi="ar"/>
        </w:rPr>
        <w:t>8.</w:t>
      </w:r>
      <w:r>
        <w:rPr>
          <w:rFonts w:ascii="宋体" w:hAnsi="宋体" w:cs="宋体" w:hint="eastAsia"/>
          <w:sz w:val="24"/>
          <w:szCs w:val="24"/>
        </w:rPr>
        <w:t>本清单所列工程数量是根据图纸或现行情况暂定的，仅作为投标的共同基础，不能作为最终结算与支付的依据。</w:t>
      </w:r>
    </w:p>
    <w:p w14:paraId="709AD5FD" w14:textId="77777777" w:rsidR="0038351C" w:rsidRDefault="00000000">
      <w:pPr>
        <w:spacing w:line="400" w:lineRule="exact"/>
        <w:rPr>
          <w:rFonts w:ascii="宋体" w:hAnsi="宋体" w:cs="宋体" w:hint="eastAsia"/>
          <w:color w:val="000000"/>
          <w:sz w:val="24"/>
          <w:szCs w:val="24"/>
          <w:lang w:bidi="ar"/>
        </w:rPr>
      </w:pPr>
      <w:r>
        <w:rPr>
          <w:rFonts w:ascii="宋体" w:hAnsi="宋体" w:cs="宋体" w:hint="eastAsia"/>
          <w:sz w:val="24"/>
          <w:szCs w:val="24"/>
        </w:rPr>
        <w:t>9.清单综合</w:t>
      </w:r>
      <w:proofErr w:type="gramStart"/>
      <w:r>
        <w:rPr>
          <w:rFonts w:ascii="宋体" w:hAnsi="宋体" w:cs="宋体" w:hint="eastAsia"/>
          <w:sz w:val="24"/>
          <w:szCs w:val="24"/>
        </w:rPr>
        <w:t>单价组价由</w:t>
      </w:r>
      <w:proofErr w:type="gramEnd"/>
      <w:r>
        <w:rPr>
          <w:rFonts w:ascii="宋体" w:hAnsi="宋体" w:cs="宋体" w:hint="eastAsia"/>
          <w:sz w:val="24"/>
          <w:szCs w:val="24"/>
        </w:rPr>
        <w:t>投标人进行复核，如有疑问投标人应在答疑期间提出，如答疑期间未提出，则发包人认为清单描述所有内容投标人</w:t>
      </w:r>
      <w:proofErr w:type="gramStart"/>
      <w:r>
        <w:rPr>
          <w:rFonts w:ascii="宋体" w:hAnsi="宋体" w:cs="宋体" w:hint="eastAsia"/>
          <w:sz w:val="24"/>
          <w:szCs w:val="24"/>
        </w:rPr>
        <w:t>已综合</w:t>
      </w:r>
      <w:proofErr w:type="gramEnd"/>
      <w:r>
        <w:rPr>
          <w:rFonts w:ascii="宋体" w:hAnsi="宋体" w:cs="宋体" w:hint="eastAsia"/>
          <w:sz w:val="24"/>
          <w:szCs w:val="24"/>
        </w:rPr>
        <w:t>考虑在相应的清单综合单价内。</w:t>
      </w:r>
    </w:p>
    <w:p w14:paraId="6B01AF49" w14:textId="77777777" w:rsidR="0038351C" w:rsidRDefault="00000000">
      <w:pPr>
        <w:spacing w:line="400" w:lineRule="exact"/>
        <w:jc w:val="left"/>
      </w:pPr>
      <w:r>
        <w:rPr>
          <w:rFonts w:ascii="宋体" w:hAnsi="宋体" w:cs="宋体" w:hint="eastAsia"/>
          <w:color w:val="000000"/>
          <w:sz w:val="24"/>
          <w:szCs w:val="24"/>
          <w:lang w:bidi="ar"/>
        </w:rPr>
        <w:t>10.土方运输所使用的渣土车必须符合工程所在地行政主管部门的要求，同时按照相关规定缴纳渣土消纳费等费用，该费用由施工单位承担，并在投标报价</w:t>
      </w:r>
      <w:proofErr w:type="gramStart"/>
      <w:r>
        <w:rPr>
          <w:rFonts w:ascii="宋体" w:hAnsi="宋体" w:cs="宋体" w:hint="eastAsia"/>
          <w:color w:val="000000"/>
          <w:sz w:val="24"/>
          <w:szCs w:val="24"/>
          <w:lang w:bidi="ar"/>
        </w:rPr>
        <w:t>时综合</w:t>
      </w:r>
      <w:proofErr w:type="gramEnd"/>
      <w:r>
        <w:rPr>
          <w:rFonts w:ascii="宋体" w:hAnsi="宋体" w:cs="宋体" w:hint="eastAsia"/>
          <w:color w:val="000000"/>
          <w:sz w:val="24"/>
          <w:szCs w:val="24"/>
          <w:lang w:bidi="ar"/>
        </w:rPr>
        <w:t>考虑在相应的清单报价中。投标人应根据现场实际情况、地质勘探资料、招标人要求、建筑工地扬尘防治标准和上级主管部门建设工程扬尘防治实施细则要求等自行考虑土方开挖方案、开挖土方外运运距堆场、回填土土源外购、扬尘防治措施、土方外运堆场可能由当地主管部门指定等所有因素后自行报价。</w:t>
      </w:r>
    </w:p>
    <w:p w14:paraId="098A4004" w14:textId="77777777" w:rsidR="0038351C" w:rsidRDefault="0038351C">
      <w:pPr>
        <w:spacing w:line="400" w:lineRule="exact"/>
        <w:jc w:val="left"/>
        <w:rPr>
          <w:rFonts w:ascii="宋体" w:hAnsi="宋体" w:cs="宋体" w:hint="eastAsia"/>
          <w:color w:val="000000"/>
          <w:sz w:val="24"/>
          <w:szCs w:val="24"/>
          <w:lang w:bidi="ar"/>
        </w:rPr>
      </w:pPr>
    </w:p>
    <w:p w14:paraId="14B0E24A" w14:textId="77777777" w:rsidR="0038351C" w:rsidRDefault="0038351C">
      <w:pPr>
        <w:spacing w:line="400" w:lineRule="exact"/>
        <w:rPr>
          <w:rFonts w:ascii="宋体" w:hAnsi="宋体" w:cs="宋体" w:hint="eastAsia"/>
          <w:sz w:val="24"/>
          <w:szCs w:val="24"/>
        </w:rPr>
      </w:pPr>
    </w:p>
    <w:p w14:paraId="09081456" w14:textId="77777777" w:rsidR="0038351C" w:rsidRDefault="0038351C">
      <w:pPr>
        <w:spacing w:line="360" w:lineRule="auto"/>
        <w:jc w:val="left"/>
        <w:rPr>
          <w:rFonts w:ascii="宋体" w:hAnsi="宋体" w:cs="宋体" w:hint="eastAsia"/>
          <w:sz w:val="24"/>
          <w:szCs w:val="24"/>
        </w:rPr>
      </w:pPr>
    </w:p>
    <w:p w14:paraId="5231CBAE" w14:textId="77777777" w:rsidR="0038351C" w:rsidRDefault="0038351C">
      <w:pPr>
        <w:spacing w:line="360" w:lineRule="auto"/>
        <w:jc w:val="left"/>
        <w:rPr>
          <w:rFonts w:asciiTheme="minorEastAsia" w:hAnsiTheme="minorEastAsia" w:cstheme="minorEastAsia" w:hint="eastAsia"/>
          <w:color w:val="000000"/>
          <w:sz w:val="24"/>
          <w:lang w:bidi="ar"/>
        </w:rPr>
      </w:pPr>
    </w:p>
    <w:p w14:paraId="195601F0" w14:textId="77777777" w:rsidR="0038351C" w:rsidRDefault="0038351C">
      <w:pPr>
        <w:spacing w:line="360" w:lineRule="auto"/>
        <w:jc w:val="left"/>
        <w:rPr>
          <w:rFonts w:asciiTheme="minorEastAsia" w:hAnsiTheme="minorEastAsia" w:cstheme="minorEastAsia" w:hint="eastAsia"/>
          <w:color w:val="000000"/>
          <w:sz w:val="24"/>
          <w:lang w:bidi="ar"/>
        </w:rPr>
      </w:pPr>
    </w:p>
    <w:sectPr w:rsidR="0038351C">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6908B" w14:textId="77777777" w:rsidR="00763D4D" w:rsidRDefault="00763D4D" w:rsidP="00C63953">
      <w:r>
        <w:separator/>
      </w:r>
    </w:p>
  </w:endnote>
  <w:endnote w:type="continuationSeparator" w:id="0">
    <w:p w14:paraId="445246BD" w14:textId="77777777" w:rsidR="00763D4D" w:rsidRDefault="00763D4D" w:rsidP="00C63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BD861" w14:textId="77777777" w:rsidR="00763D4D" w:rsidRDefault="00763D4D" w:rsidP="00C63953">
      <w:r>
        <w:separator/>
      </w:r>
    </w:p>
  </w:footnote>
  <w:footnote w:type="continuationSeparator" w:id="0">
    <w:p w14:paraId="7B3A2D2F" w14:textId="77777777" w:rsidR="00763D4D" w:rsidRDefault="00763D4D" w:rsidP="00C6395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isplayHorizontalDrawingGridEvery w:val="0"/>
  <w:displayVerticalDrawingGridEvery w:val="2"/>
  <w:characterSpacingControl w:val="compressPunctuation"/>
  <w:noLineBreaksAfter w:lang="zh-CN" w:val="$([{£¥·‘“〈《「『【〔〖〝﹙﹛﹝＄（．［｛￡￥"/>
  <w:noLineBreaksBefore w:lang="zh-CN" w:val="$([{£¥·‘“〈《「『【〔〖〝﹙﹛﹝＄（．［｛￡￥"/>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2"/>
    <w:compatSetting w:name="useWord2013TrackBottomHyphenation" w:uri="http://schemas.microsoft.com/office/word" w:val="1"/>
  </w:compat>
  <w:rsids>
    <w:rsidRoot w:val="00AC4356"/>
    <w:rsid w:val="002B3D0D"/>
    <w:rsid w:val="0038351C"/>
    <w:rsid w:val="00391A0A"/>
    <w:rsid w:val="00763D4D"/>
    <w:rsid w:val="008064B3"/>
    <w:rsid w:val="00943408"/>
    <w:rsid w:val="00945FA4"/>
    <w:rsid w:val="00964D35"/>
    <w:rsid w:val="009F0E44"/>
    <w:rsid w:val="00A07933"/>
    <w:rsid w:val="00A561D6"/>
    <w:rsid w:val="00AC4356"/>
    <w:rsid w:val="00B05753"/>
    <w:rsid w:val="00BD44A1"/>
    <w:rsid w:val="00C6146C"/>
    <w:rsid w:val="00C63953"/>
    <w:rsid w:val="00DB5413"/>
    <w:rsid w:val="00E526AE"/>
    <w:rsid w:val="00E90956"/>
    <w:rsid w:val="00ED7B3B"/>
    <w:rsid w:val="0AAD73DB"/>
    <w:rsid w:val="1E066095"/>
    <w:rsid w:val="312F401A"/>
    <w:rsid w:val="4FE1438A"/>
    <w:rsid w:val="52354064"/>
    <w:rsid w:val="5BCE19D7"/>
    <w:rsid w:val="5FED2422"/>
    <w:rsid w:val="621B0A6D"/>
    <w:rsid w:val="6C65205B"/>
    <w:rsid w:val="70A22DB5"/>
    <w:rsid w:val="7A7032EC"/>
    <w:rsid w:val="7C92079D"/>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0026512D-390C-4933-B21C-44D22CE66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26"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sz w:val="21"/>
      <w:szCs w:val="21"/>
    </w:rPr>
  </w:style>
  <w:style w:type="paragraph" w:styleId="1">
    <w:name w:val="heading 1"/>
    <w:uiPriority w:val="7"/>
    <w:qFormat/>
    <w:pPr>
      <w:jc w:val="both"/>
      <w:outlineLvl w:val="0"/>
    </w:pPr>
    <w:rPr>
      <w:sz w:val="28"/>
      <w:szCs w:val="28"/>
    </w:rPr>
  </w:style>
  <w:style w:type="paragraph" w:styleId="2">
    <w:name w:val="heading 2"/>
    <w:uiPriority w:val="8"/>
    <w:qFormat/>
    <w:pPr>
      <w:jc w:val="both"/>
      <w:outlineLvl w:val="1"/>
    </w:pPr>
    <w:rPr>
      <w:sz w:val="21"/>
      <w:szCs w:val="21"/>
    </w:rPr>
  </w:style>
  <w:style w:type="paragraph" w:styleId="3">
    <w:name w:val="heading 3"/>
    <w:uiPriority w:val="9"/>
    <w:qFormat/>
    <w:pPr>
      <w:ind w:left="1000" w:hanging="400"/>
      <w:jc w:val="both"/>
      <w:outlineLvl w:val="2"/>
    </w:pPr>
    <w:rPr>
      <w:sz w:val="21"/>
      <w:szCs w:val="21"/>
    </w:rPr>
  </w:style>
  <w:style w:type="paragraph" w:styleId="4">
    <w:name w:val="heading 4"/>
    <w:uiPriority w:val="10"/>
    <w:qFormat/>
    <w:pPr>
      <w:ind w:left="1200" w:hanging="400"/>
      <w:jc w:val="both"/>
      <w:outlineLvl w:val="3"/>
    </w:pPr>
    <w:rPr>
      <w:b/>
      <w:sz w:val="21"/>
      <w:szCs w:val="21"/>
    </w:rPr>
  </w:style>
  <w:style w:type="paragraph" w:styleId="5">
    <w:name w:val="heading 5"/>
    <w:uiPriority w:val="11"/>
    <w:qFormat/>
    <w:pPr>
      <w:ind w:left="1400" w:hanging="400"/>
      <w:jc w:val="both"/>
      <w:outlineLvl w:val="4"/>
    </w:pPr>
    <w:rPr>
      <w:sz w:val="21"/>
      <w:szCs w:val="21"/>
    </w:rPr>
  </w:style>
  <w:style w:type="paragraph" w:styleId="6">
    <w:name w:val="heading 6"/>
    <w:uiPriority w:val="12"/>
    <w:qFormat/>
    <w:pPr>
      <w:ind w:left="1600" w:hanging="400"/>
      <w:jc w:val="both"/>
      <w:outlineLvl w:val="5"/>
    </w:pPr>
    <w:rPr>
      <w:b/>
      <w:sz w:val="21"/>
      <w:szCs w:val="21"/>
    </w:rPr>
  </w:style>
  <w:style w:type="paragraph" w:styleId="7">
    <w:name w:val="heading 7"/>
    <w:uiPriority w:val="13"/>
    <w:qFormat/>
    <w:pPr>
      <w:ind w:left="1800" w:hanging="400"/>
      <w:jc w:val="both"/>
      <w:outlineLvl w:val="6"/>
    </w:pPr>
    <w:rPr>
      <w:sz w:val="21"/>
      <w:szCs w:val="21"/>
    </w:rPr>
  </w:style>
  <w:style w:type="paragraph" w:styleId="8">
    <w:name w:val="heading 8"/>
    <w:uiPriority w:val="14"/>
    <w:qFormat/>
    <w:pPr>
      <w:ind w:left="2000" w:hanging="400"/>
      <w:jc w:val="both"/>
      <w:outlineLvl w:val="7"/>
    </w:pPr>
    <w:rPr>
      <w:sz w:val="21"/>
      <w:szCs w:val="21"/>
    </w:rPr>
  </w:style>
  <w:style w:type="paragraph" w:styleId="9">
    <w:name w:val="heading 9"/>
    <w:uiPriority w:val="15"/>
    <w:qFormat/>
    <w:pPr>
      <w:ind w:left="2200" w:hanging="400"/>
      <w:jc w:val="both"/>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uiPriority w:val="34"/>
    <w:unhideWhenUsed/>
    <w:qFormat/>
    <w:pPr>
      <w:ind w:left="2550"/>
      <w:jc w:val="both"/>
    </w:pPr>
    <w:rPr>
      <w:sz w:val="21"/>
      <w:szCs w:val="21"/>
    </w:rPr>
  </w:style>
  <w:style w:type="paragraph" w:styleId="TOC5">
    <w:name w:val="toc 5"/>
    <w:uiPriority w:val="32"/>
    <w:unhideWhenUsed/>
    <w:qFormat/>
    <w:pPr>
      <w:ind w:left="1700"/>
      <w:jc w:val="both"/>
    </w:pPr>
    <w:rPr>
      <w:sz w:val="21"/>
      <w:szCs w:val="21"/>
    </w:rPr>
  </w:style>
  <w:style w:type="paragraph" w:styleId="TOC3">
    <w:name w:val="toc 3"/>
    <w:uiPriority w:val="30"/>
    <w:unhideWhenUsed/>
    <w:qFormat/>
    <w:pPr>
      <w:ind w:left="850"/>
      <w:jc w:val="both"/>
    </w:pPr>
    <w:rPr>
      <w:sz w:val="21"/>
      <w:szCs w:val="21"/>
    </w:rPr>
  </w:style>
  <w:style w:type="paragraph" w:styleId="TOC8">
    <w:name w:val="toc 8"/>
    <w:uiPriority w:val="35"/>
    <w:unhideWhenUsed/>
    <w:qFormat/>
    <w:pPr>
      <w:ind w:left="2975"/>
      <w:jc w:val="both"/>
    </w:pPr>
    <w:rPr>
      <w:sz w:val="21"/>
      <w:szCs w:val="21"/>
    </w:rPr>
  </w:style>
  <w:style w:type="paragraph" w:styleId="a3">
    <w:name w:val="footer"/>
    <w:basedOn w:val="a"/>
    <w:link w:val="a4"/>
    <w:unhideWhenUsed/>
    <w:qFormat/>
    <w:pPr>
      <w:tabs>
        <w:tab w:val="center" w:pos="4153"/>
        <w:tab w:val="right" w:pos="8306"/>
      </w:tabs>
    </w:pPr>
    <w:rPr>
      <w:sz w:val="18"/>
      <w:szCs w:val="18"/>
    </w:rPr>
  </w:style>
  <w:style w:type="paragraph" w:styleId="a5">
    <w:name w:val="header"/>
    <w:basedOn w:val="a"/>
    <w:link w:val="a6"/>
    <w:unhideWhenUsed/>
    <w:qFormat/>
    <w:pPr>
      <w:tabs>
        <w:tab w:val="center" w:pos="4153"/>
        <w:tab w:val="right" w:pos="8306"/>
      </w:tabs>
      <w:jc w:val="center"/>
    </w:pPr>
    <w:rPr>
      <w:sz w:val="18"/>
      <w:szCs w:val="18"/>
    </w:rPr>
  </w:style>
  <w:style w:type="paragraph" w:styleId="TOC1">
    <w:name w:val="toc 1"/>
    <w:uiPriority w:val="28"/>
    <w:unhideWhenUsed/>
    <w:qFormat/>
    <w:pPr>
      <w:jc w:val="both"/>
    </w:pPr>
    <w:rPr>
      <w:sz w:val="21"/>
      <w:szCs w:val="21"/>
    </w:rPr>
  </w:style>
  <w:style w:type="paragraph" w:styleId="TOC4">
    <w:name w:val="toc 4"/>
    <w:uiPriority w:val="31"/>
    <w:unhideWhenUsed/>
    <w:qFormat/>
    <w:pPr>
      <w:ind w:left="1275"/>
      <w:jc w:val="both"/>
    </w:pPr>
    <w:rPr>
      <w:sz w:val="21"/>
      <w:szCs w:val="21"/>
    </w:rPr>
  </w:style>
  <w:style w:type="paragraph" w:styleId="a7">
    <w:name w:val="Subtitle"/>
    <w:uiPriority w:val="16"/>
    <w:qFormat/>
    <w:pPr>
      <w:jc w:val="center"/>
    </w:pPr>
    <w:rPr>
      <w:sz w:val="24"/>
      <w:szCs w:val="24"/>
    </w:rPr>
  </w:style>
  <w:style w:type="paragraph" w:styleId="TOC6">
    <w:name w:val="toc 6"/>
    <w:uiPriority w:val="33"/>
    <w:unhideWhenUsed/>
    <w:qFormat/>
    <w:pPr>
      <w:ind w:left="2125"/>
      <w:jc w:val="both"/>
    </w:pPr>
    <w:rPr>
      <w:sz w:val="21"/>
      <w:szCs w:val="21"/>
    </w:rPr>
  </w:style>
  <w:style w:type="paragraph" w:styleId="TOC2">
    <w:name w:val="toc 2"/>
    <w:uiPriority w:val="29"/>
    <w:unhideWhenUsed/>
    <w:qFormat/>
    <w:pPr>
      <w:ind w:left="425"/>
      <w:jc w:val="both"/>
    </w:pPr>
    <w:rPr>
      <w:sz w:val="21"/>
      <w:szCs w:val="21"/>
    </w:rPr>
  </w:style>
  <w:style w:type="paragraph" w:styleId="TOC9">
    <w:name w:val="toc 9"/>
    <w:uiPriority w:val="36"/>
    <w:unhideWhenUsed/>
    <w:qFormat/>
    <w:pPr>
      <w:ind w:left="3400"/>
      <w:jc w:val="both"/>
    </w:pPr>
    <w:rPr>
      <w:sz w:val="21"/>
      <w:szCs w:val="21"/>
    </w:rPr>
  </w:style>
  <w:style w:type="paragraph" w:styleId="a8">
    <w:name w:val="Title"/>
    <w:uiPriority w:val="6"/>
    <w:qFormat/>
    <w:pPr>
      <w:jc w:val="center"/>
    </w:pPr>
    <w:rPr>
      <w:b/>
      <w:sz w:val="32"/>
      <w:szCs w:val="32"/>
    </w:rPr>
  </w:style>
  <w:style w:type="character" w:styleId="a9">
    <w:name w:val="Strong"/>
    <w:uiPriority w:val="20"/>
    <w:qFormat/>
    <w:rPr>
      <w:b/>
      <w:w w:val="100"/>
      <w:sz w:val="21"/>
      <w:szCs w:val="21"/>
      <w:shd w:val="clear" w:color="auto" w:fill="auto"/>
    </w:rPr>
  </w:style>
  <w:style w:type="character" w:styleId="aa">
    <w:name w:val="Emphasis"/>
    <w:uiPriority w:val="18"/>
    <w:qFormat/>
    <w:rPr>
      <w:i/>
      <w:w w:val="100"/>
      <w:sz w:val="21"/>
      <w:szCs w:val="21"/>
      <w:shd w:val="clear" w:color="auto" w:fill="auto"/>
    </w:rPr>
  </w:style>
  <w:style w:type="paragraph" w:styleId="ab">
    <w:name w:val="No Spacing"/>
    <w:uiPriority w:val="5"/>
    <w:qFormat/>
    <w:pPr>
      <w:jc w:val="both"/>
    </w:pPr>
    <w:rPr>
      <w:sz w:val="21"/>
      <w:szCs w:val="21"/>
    </w:rPr>
  </w:style>
  <w:style w:type="character" w:customStyle="1" w:styleId="10">
    <w:name w:val="不明显强调1"/>
    <w:uiPriority w:val="17"/>
    <w:qFormat/>
    <w:rPr>
      <w:i/>
      <w:color w:val="404040"/>
      <w:w w:val="100"/>
      <w:sz w:val="21"/>
      <w:szCs w:val="21"/>
      <w:shd w:val="clear" w:color="auto" w:fill="auto"/>
    </w:rPr>
  </w:style>
  <w:style w:type="character" w:customStyle="1" w:styleId="11">
    <w:name w:val="明显强调1"/>
    <w:uiPriority w:val="19"/>
    <w:qFormat/>
    <w:rPr>
      <w:i/>
      <w:color w:val="5B9BD5"/>
      <w:w w:val="100"/>
      <w:sz w:val="21"/>
      <w:szCs w:val="21"/>
      <w:shd w:val="clear" w:color="auto" w:fill="auto"/>
    </w:rPr>
  </w:style>
  <w:style w:type="paragraph" w:styleId="ac">
    <w:name w:val="Quote"/>
    <w:uiPriority w:val="21"/>
    <w:qFormat/>
    <w:pPr>
      <w:ind w:left="864" w:right="864"/>
      <w:jc w:val="center"/>
    </w:pPr>
    <w:rPr>
      <w:i/>
      <w:color w:val="404040"/>
      <w:sz w:val="21"/>
      <w:szCs w:val="21"/>
    </w:rPr>
  </w:style>
  <w:style w:type="paragraph" w:styleId="ad">
    <w:name w:val="Intense Quote"/>
    <w:uiPriority w:val="22"/>
    <w:qFormat/>
    <w:pPr>
      <w:ind w:left="950" w:right="950"/>
      <w:jc w:val="center"/>
    </w:pPr>
    <w:rPr>
      <w:i/>
      <w:color w:val="5B9BD5"/>
      <w:sz w:val="21"/>
      <w:szCs w:val="21"/>
    </w:rPr>
  </w:style>
  <w:style w:type="character" w:customStyle="1" w:styleId="12">
    <w:name w:val="不明显参考1"/>
    <w:uiPriority w:val="23"/>
    <w:qFormat/>
    <w:rPr>
      <w:smallCaps/>
      <w:color w:val="5A5A5A"/>
      <w:w w:val="100"/>
      <w:sz w:val="21"/>
      <w:szCs w:val="21"/>
      <w:shd w:val="clear" w:color="auto" w:fill="auto"/>
    </w:rPr>
  </w:style>
  <w:style w:type="character" w:customStyle="1" w:styleId="13">
    <w:name w:val="明显参考1"/>
    <w:uiPriority w:val="24"/>
    <w:qFormat/>
    <w:rPr>
      <w:b/>
      <w:smallCaps/>
      <w:color w:val="5B9BD5"/>
      <w:w w:val="100"/>
      <w:sz w:val="21"/>
      <w:szCs w:val="21"/>
      <w:shd w:val="clear" w:color="auto" w:fill="auto"/>
    </w:rPr>
  </w:style>
  <w:style w:type="character" w:customStyle="1" w:styleId="14">
    <w:name w:val="书籍标题1"/>
    <w:uiPriority w:val="25"/>
    <w:qFormat/>
    <w:rPr>
      <w:b/>
      <w:i/>
      <w:w w:val="100"/>
      <w:sz w:val="21"/>
      <w:szCs w:val="21"/>
      <w:shd w:val="clear" w:color="auto" w:fill="auto"/>
    </w:rPr>
  </w:style>
  <w:style w:type="paragraph" w:styleId="ae">
    <w:name w:val="List Paragraph"/>
    <w:basedOn w:val="a"/>
    <w:uiPriority w:val="26"/>
    <w:qFormat/>
    <w:pPr>
      <w:ind w:firstLine="420"/>
    </w:pPr>
  </w:style>
  <w:style w:type="paragraph" w:customStyle="1" w:styleId="TOC10">
    <w:name w:val="TOC 标题1"/>
    <w:uiPriority w:val="27"/>
    <w:unhideWhenUsed/>
    <w:qFormat/>
    <w:rPr>
      <w:color w:val="2E74B5"/>
      <w:sz w:val="32"/>
      <w:szCs w:val="32"/>
    </w:rPr>
  </w:style>
  <w:style w:type="character" w:customStyle="1" w:styleId="a6">
    <w:name w:val="页眉 字符"/>
    <w:link w:val="a5"/>
    <w:qFormat/>
    <w:rPr>
      <w:w w:val="100"/>
      <w:sz w:val="18"/>
      <w:szCs w:val="18"/>
      <w:shd w:val="clear" w:color="auto" w:fill="auto"/>
    </w:rPr>
  </w:style>
  <w:style w:type="character" w:customStyle="1" w:styleId="a4">
    <w:name w:val="页脚 字符"/>
    <w:link w:val="a3"/>
    <w:qFormat/>
    <w:rPr>
      <w:w w:val="100"/>
      <w:sz w:val="18"/>
      <w:szCs w:val="18"/>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c38341dc-7814-4448-ba78-199d75df7232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19028B3</paraID>
      <start>0</start>
      <end>2</end>
      <status>modified</status>
      <modifiedWord>1.</modifiedWord>
      <trackRevisions>false</trackRevisions>
    </reviewItem>
    <reviewItem>
      <errorID>d83097ac-6059-429d-844b-3ce92a4e2868</errorID>
      <errorWord>、</errorWord>
      <group>L1_AI</group>
      <groupName>深度校对</groupName>
      <ability>L2_AI_Punc</ability>
      <abilityName>标点纠错</abilityName>
      <candidateList>
        <item/>
      </candidateList>
      <explain/>
      <paraID> 19028B3</paraID>
      <start>32</start>
      <end>32</end>
      <status>modified</status>
      <modifiedWord/>
      <trackRevisions>false</trackRevisions>
    </reviewItem>
    <reviewItem>
      <errorID>0f12f985-1ab3-4147-ad6f-b7b026f2db9d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61B046CE</paraID>
      <start>0</start>
      <end>2</end>
      <status>modified</status>
      <modifiedWord>2.</modifiedWord>
      <trackRevisions>false</trackRevisions>
    </reviewItem>
    <reviewItem>
      <errorID>6da112a4-1ff7-46c2-947a-b63213defc9a</errorID>
      <errorWord>〔</errorWord>
      <group>L1_AI</group>
      <groupName>深度校对</groupName>
      <ability>L2_AI_Grammar</ability>
      <abilityName>语法纠错</abilityName>
      <candidateList>
        <item>常建〔</item>
      </candidateList>
      <explain/>
      <paraID>61B046CE</paraID>
      <start>95</start>
      <end>98</end>
      <status>modified</status>
      <modifiedWord>常建〔</modifiedWord>
      <trackRevisions>false</trackRevisions>
    </reviewItem>
    <reviewItem>
      <errorID>434457c1-d06f-4c13-a08d-f1ffd04fa523</errorID>
      <errorWord>〕第</errorWord>
      <group>L1_AI</group>
      <groupName>深度校对</groupName>
      <ability>L2_AI_Word</ability>
      <abilityName>字词纠错</abilityName>
      <candidateList>
        <item>〕</item>
      </candidateList>
      <explain/>
      <paraID>61B046CE</paraID>
      <start>102</start>
      <end>103</end>
      <status>modified</status>
      <modifiedWord>〕</modifiedWord>
      <trackRevisions>false</trackRevisions>
    </reviewItem>
    <reviewItem>
      <errorID>749083d0-123f-4ce0-8726-2facbb9c0bcf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54E79FEC</paraID>
      <start>0</start>
      <end>2</end>
      <status>modified</status>
      <modifiedWord>3.</modifiedWord>
      <trackRevisions>false</trackRevisions>
    </reviewItem>
    <reviewItem>
      <errorID>a0f7719a-51d1-4613-b7e2-1453ffeadea7</errorID>
      <errorWord>九、</errorWord>
      <group>L1_AI</group>
      <groupName>深度校对</groupName>
      <ability>L2_AI_Title</ability>
      <abilityName>标题检查</abilityName>
      <candidateList>
        <item>4、</item>
      </candidateList>
      <explain>标题顺序错误，请检查标题顺序是否合理。</explain>
      <paraID>6F8E7EBB</paraID>
      <start>0</start>
      <end>2</end>
      <status>modified</status>
      <modifiedWord>4、</modifiedWord>
      <trackRevisions>false</trackRevisions>
    </reviewItem>
    <reviewItem>
      <errorID>5e468973-3eee-4343-8c9e-b361003e80ef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B240E34</paraID>
      <start>0</start>
      <end>2</end>
      <status>modified</status>
      <modifiedWord>4.</modifiedWord>
      <trackRevisions>false</trackRevisions>
    </reviewItem>
    <reviewItem>
      <errorID>7ceaea8c-21b5-4f0f-b7fa-74e6b02b8f27</errorID>
      <errorWord>5、</errorWord>
      <group>L1_AI</group>
      <groupName>深度校对</groupName>
      <ability>L2_AI_Title</ability>
      <abilityName>标题检查</abilityName>
      <candidateList>
        <item>6、</item>
      </candidateList>
      <explain>标题顺序错误，请检查标题顺序是否合理。</explain>
      <paraID>260068C7</paraID>
      <start>0</start>
      <end>2</end>
      <status>modified</status>
      <modifiedWord>6、</modifiedWord>
      <trackRevisions>false</trackRevisions>
    </reviewItem>
    <reviewItem>
      <errorID>6e4e8876-0883-4a1a-845b-ebc14bc849b6</errorID>
      <errorWord>6、</errorWord>
      <group>L1_AI</group>
      <groupName>深度校对</groupName>
      <ability>L2_AI_Title</ability>
      <abilityName>标题检查</abilityName>
      <candidateList>
        <item>7、</item>
      </candidateList>
      <explain>标题顺序错误，请检查标题顺序是否合理。</explain>
      <paraID>46899B55</paraID>
      <start>0</start>
      <end>2</end>
      <status>modified</status>
      <modifiedWord>7、</modifiedWord>
      <trackRevisions>false</trackRevisions>
    </reviewItem>
    <reviewItem>
      <errorID>3f1965d1-808b-4dcd-892e-64d9641b73ea</errorID>
      <errorWord>7、</errorWord>
      <group>L1_AI</group>
      <groupName>深度校对</groupName>
      <ability>L2_AI_Title</ability>
      <abilityName>标题检查</abilityName>
      <candidateList>
        <item>8、</item>
      </candidateList>
      <explain>标题顺序错误，请检查标题顺序是否合理。</explain>
      <paraID>18541163</paraID>
      <start>0</start>
      <end>2</end>
      <status>modified</status>
      <modifiedWord>8、</modifiedWord>
      <trackRevisions>false</trackRevisions>
    </reviewItem>
    <reviewItem>
      <errorID>511d0195-f026-46d4-8823-cb219ec7818a</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3D043C7F</paraID>
      <start>0</start>
      <end>2</end>
      <status>modified</status>
      <modifiedWord>8.</modifiedWord>
      <trackRevisions>false</trackRevisions>
    </reviewItem>
    <reviewItem>
      <errorID>782920b0-7a03-42e4-a4a6-6d261db6219b</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709AD5FD</paraID>
      <start>0</start>
      <end>2</end>
      <status>modified</status>
      <modifiedWord>9.</modifiedWord>
      <trackRevisions>false</trackRevisions>
    </reviewItem>
    <reviewItem>
      <errorID>2958539d-c946-4339-a722-1504f107d870</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6B01AF49</paraID>
      <start>0</start>
      <end>3</end>
      <status>modified</status>
      <modifiedWord>10.</modifiedWord>
      <trackRevisions>false</trackRevisions>
    </reviewItem>
  </reviewItems>
  <config/>
</contractReview>
</file>

<file path=customXml/itemProps1.xml><?xml version="1.0" encoding="utf-8"?>
<ds:datastoreItem xmlns:ds="http://schemas.openxmlformats.org/officeDocument/2006/customXml" ds:itemID="{1DFEB2F0-0BD3-4252-847F-7339B6FFBE3C}">
  <ds:schemaRefs>
    <ds:schemaRef ds:uri="http://schemas.wps.cn/vas-ai-hub/contract-review"/>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708</Words>
  <Characters>772</Characters>
  <Application>Microsoft Office Word</Application>
  <DocSecurity>0</DocSecurity>
  <Lines>30</Lines>
  <Paragraphs>24</Paragraphs>
  <ScaleCrop>false</ScaleCrop>
  <Company>Microsoft</Company>
  <LinksUpToDate>false</LinksUpToDate>
  <CharactersWithSpaces>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ZJBL</dc:creator>
  <cp:lastModifiedBy>飞 刘</cp:lastModifiedBy>
  <cp:revision>15</cp:revision>
  <cp:lastPrinted>2026-03-12T07:23:00Z</cp:lastPrinted>
  <dcterms:created xsi:type="dcterms:W3CDTF">2021-08-18T06:12:00Z</dcterms:created>
  <dcterms:modified xsi:type="dcterms:W3CDTF">2026-03-12T07:32:00Z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eyJoZGlkIjoiZDE2N2UzY2ZlZjUxYjc4ZmIyNDY3ZjM3NjY0NjkyMGQiLCJ1c2VySWQiOiI5OTMyOTkxNDIifQ==</vt:lpwstr>
  </property>
  <property fmtid="{D5CDD505-2E9C-101B-9397-08002B2CF9AE}" pid="3" name="KSOProductBuildVer">
    <vt:lpwstr>2052-12.1.0.25225</vt:lpwstr>
  </property>
  <property fmtid="{D5CDD505-2E9C-101B-9397-08002B2CF9AE}" pid="4" name="ICV">
    <vt:lpwstr>7FA87B3A52BA4678A3E1CF5341EABE9C_12</vt:lpwstr>
  </property>
</Properties>
</file>